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B18E" w14:textId="1993DCE0" w:rsidR="00AD31D6" w:rsidRDefault="000E0F50">
      <w:pPr>
        <w:pStyle w:val="Heading1"/>
        <w:ind w:right="1781"/>
        <w:jc w:val="center"/>
      </w:pPr>
      <w:r>
        <w:rPr>
          <w:color w:val="1F4E79"/>
        </w:rPr>
        <w:t>COURSE SPECIFICATION</w:t>
      </w:r>
      <w:r w:rsidR="00E23E21">
        <w:rPr>
          <w:rFonts w:hint="cs"/>
          <w:color w:val="1F4E79"/>
          <w:rtl/>
        </w:rPr>
        <w:t xml:space="preserve"> </w:t>
      </w:r>
      <w:r w:rsidR="00E23E21">
        <w:rPr>
          <w:color w:val="1F4E79"/>
        </w:rPr>
        <w:t>ANLAYTICAL CHEMISTRY</w:t>
      </w:r>
      <w:r w:rsidR="002E5621">
        <w:rPr>
          <w:color w:val="1F4E79"/>
        </w:rPr>
        <w:t xml:space="preserve"> FIRST YEAR FIRST COURSE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1BBE482E" w:rsidR="00AD31D6" w:rsidRDefault="001804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Al-</w:t>
            </w:r>
            <w:proofErr w:type="spellStart"/>
            <w:r>
              <w:rPr>
                <w:sz w:val="28"/>
              </w:rPr>
              <w:t>Nahrain</w:t>
            </w:r>
            <w:proofErr w:type="spellEnd"/>
            <w:r>
              <w:rPr>
                <w:sz w:val="28"/>
              </w:rPr>
              <w:t xml:space="preserve">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4367B667" w:rsidR="00AD31D6" w:rsidRDefault="001804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Chemistry Department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0843BCDC" w:rsidR="00AD31D6" w:rsidRDefault="001370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Qualitative analytical Chemistry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79A81034" w:rsidR="00AD31D6" w:rsidRDefault="009713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 uni</w:t>
            </w:r>
            <w:r w:rsidR="00C91391">
              <w:rPr>
                <w:sz w:val="28"/>
              </w:rPr>
              <w:t>versity</w:t>
            </w:r>
            <w:r>
              <w:rPr>
                <w:sz w:val="28"/>
              </w:rPr>
              <w:t xml:space="preserve"> </w:t>
            </w:r>
            <w:r w:rsidR="00C91391">
              <w:rPr>
                <w:sz w:val="28"/>
              </w:rPr>
              <w:t>(</w:t>
            </w:r>
            <w:r w:rsidR="00637DB0">
              <w:rPr>
                <w:sz w:val="28"/>
              </w:rPr>
              <w:t>attendant</w:t>
            </w:r>
            <w:r w:rsidR="00C91391">
              <w:rPr>
                <w:sz w:val="28"/>
              </w:rPr>
              <w:t xml:space="preserve">) </w:t>
            </w:r>
            <w:r>
              <w:rPr>
                <w:sz w:val="28"/>
              </w:rPr>
              <w:t>direct classes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17EC5F5E" w:rsidR="00AD31D6" w:rsidRDefault="004E31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D5A50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0D5A50">
              <w:rPr>
                <w:sz w:val="28"/>
              </w:rPr>
              <w:t>3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279068E3" w:rsidR="00AD31D6" w:rsidRDefault="004E31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0F8EACB2" w:rsidR="00AD31D6" w:rsidRDefault="001F4F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85BB0">
              <w:rPr>
                <w:sz w:val="28"/>
              </w:rPr>
              <w:t>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318303B7" w:rsidR="00AD31D6" w:rsidRDefault="000E1F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Introduction to Analytical Chemistry </w:t>
            </w:r>
            <w:r w:rsidR="00124F49">
              <w:rPr>
                <w:sz w:val="20"/>
              </w:rPr>
              <w:t xml:space="preserve">with a goal of </w:t>
            </w:r>
            <w:r w:rsidR="00AB23BA">
              <w:rPr>
                <w:sz w:val="20"/>
              </w:rPr>
              <w:t>teaching</w:t>
            </w:r>
            <w:r w:rsidR="00124F49">
              <w:rPr>
                <w:sz w:val="20"/>
              </w:rPr>
              <w:t xml:space="preserve"> the reason </w:t>
            </w:r>
            <w:r w:rsidR="005971C8">
              <w:rPr>
                <w:sz w:val="20"/>
              </w:rPr>
              <w:t>for</w:t>
            </w:r>
            <w:r w:rsidR="00124F49">
              <w:rPr>
                <w:sz w:val="20"/>
              </w:rPr>
              <w:t xml:space="preserve"> doing analytical 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5BDC14AB" w:rsidR="00AD31D6" w:rsidRDefault="00AB2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chemistry and the basic steps of dealing with analytical issues present for a professional chemist</w:t>
            </w: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4A1BB9FC" w:rsidR="00AD31D6" w:rsidRDefault="002F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Later the curriculum develops to </w:t>
            </w:r>
            <w:r w:rsidR="007E6B4D">
              <w:rPr>
                <w:sz w:val="20"/>
              </w:rPr>
              <w:t xml:space="preserve">learning the main units </w:t>
            </w:r>
            <w:proofErr w:type="gramStart"/>
            <w:r w:rsidR="005971C8">
              <w:rPr>
                <w:sz w:val="20"/>
              </w:rPr>
              <w:t>in regard to</w:t>
            </w:r>
            <w:proofErr w:type="gramEnd"/>
            <w:r w:rsidR="007E6B4D">
              <w:rPr>
                <w:sz w:val="20"/>
              </w:rPr>
              <w:t xml:space="preserve"> analytical chemistry </w:t>
            </w:r>
            <w:r w:rsidR="007D0472">
              <w:rPr>
                <w:sz w:val="20"/>
              </w:rPr>
              <w:t xml:space="preserve">and the relations between </w:t>
            </w: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3EC3ECAE" w:rsidR="00AD31D6" w:rsidRDefault="004B25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</w:t>
            </w:r>
            <w:r w:rsidR="007D0472">
              <w:rPr>
                <w:sz w:val="20"/>
              </w:rPr>
              <w:t>hem and the ability to exchange them</w:t>
            </w: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11504A6C" w:rsidR="00AD31D6" w:rsidRDefault="004B25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Also, the course develops to </w:t>
            </w:r>
            <w:r w:rsidR="00F70873">
              <w:rPr>
                <w:sz w:val="20"/>
              </w:rPr>
              <w:t>studying</w:t>
            </w:r>
            <w:r w:rsidR="00344994">
              <w:rPr>
                <w:sz w:val="20"/>
              </w:rPr>
              <w:t xml:space="preserve"> </w:t>
            </w:r>
            <w:r w:rsidR="00F70873">
              <w:rPr>
                <w:sz w:val="20"/>
              </w:rPr>
              <w:t>Stoichiometry</w:t>
            </w:r>
            <w:r w:rsidR="001060A3">
              <w:rPr>
                <w:sz w:val="20"/>
              </w:rPr>
              <w:t xml:space="preserve"> and later studies </w:t>
            </w:r>
            <w:r w:rsidR="00F70873">
              <w:rPr>
                <w:sz w:val="20"/>
              </w:rPr>
              <w:t>gravimetrical</w:t>
            </w:r>
            <w:r w:rsidR="001060A3">
              <w:rPr>
                <w:sz w:val="20"/>
              </w:rPr>
              <w:t xml:space="preserve"> methods </w:t>
            </w: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5EE2565A" w:rsidR="00AD31D6" w:rsidRDefault="001060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 solubi</w:t>
            </w:r>
            <w:r w:rsidR="00F70873">
              <w:rPr>
                <w:sz w:val="20"/>
              </w:rPr>
              <w:t>lity</w:t>
            </w: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9· Learning Outcomes, </w:t>
            </w:r>
            <w:proofErr w:type="gramStart"/>
            <w:r>
              <w:rPr>
                <w:color w:val="221F1F"/>
                <w:sz w:val="28"/>
              </w:rPr>
              <w:t>Teaching ,Learning</w:t>
            </w:r>
            <w:proofErr w:type="gramEnd"/>
            <w:r>
              <w:rPr>
                <w:color w:val="221F1F"/>
                <w:sz w:val="28"/>
              </w:rPr>
              <w:t xml:space="preserve"> and Assessment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 w:rsidTr="00620AF9">
        <w:trPr>
          <w:trHeight w:val="2183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EDE"/>
          </w:tcPr>
          <w:p w14:paraId="476A8D97" w14:textId="379F94B3" w:rsidR="00620AF9" w:rsidRDefault="000E0F50" w:rsidP="00620AF9">
            <w:pPr>
              <w:pStyle w:val="TableParagraph"/>
              <w:spacing w:before="136" w:line="194" w:lineRule="auto"/>
              <w:ind w:left="424" w:right="384" w:hanging="7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A- Cognitive </w:t>
            </w:r>
            <w:r w:rsidR="00620AF9">
              <w:rPr>
                <w:color w:val="221F1F"/>
                <w:sz w:val="28"/>
              </w:rPr>
              <w:t>goals.</w:t>
            </w:r>
          </w:p>
          <w:p w14:paraId="4C3753CE" w14:textId="0D31B7F3" w:rsidR="00AD31D6" w:rsidRDefault="000E0F50" w:rsidP="00620AF9">
            <w:pPr>
              <w:pStyle w:val="TableParagraph"/>
              <w:spacing w:before="136" w:line="194" w:lineRule="auto"/>
              <w:ind w:left="424" w:right="384" w:hanging="7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A1.</w:t>
            </w:r>
            <w:r w:rsidR="0021729A">
              <w:rPr>
                <w:color w:val="221F1F"/>
                <w:sz w:val="28"/>
              </w:rPr>
              <w:t xml:space="preserve"> Learning the </w:t>
            </w:r>
            <w:r w:rsidR="00620AF9">
              <w:rPr>
                <w:color w:val="221F1F"/>
                <w:sz w:val="28"/>
              </w:rPr>
              <w:t>correct methods to understand analytical issues</w:t>
            </w:r>
          </w:p>
          <w:p w14:paraId="0196DE41" w14:textId="13DEC8F8" w:rsidR="00AD31D6" w:rsidRDefault="000E0F50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3924A5">
              <w:rPr>
                <w:color w:val="221F1F"/>
                <w:sz w:val="28"/>
              </w:rPr>
              <w:t xml:space="preserve"> introduction</w:t>
            </w:r>
            <w:r w:rsidR="00896949">
              <w:rPr>
                <w:color w:val="221F1F"/>
                <w:sz w:val="28"/>
              </w:rPr>
              <w:t xml:space="preserve"> to main definitions </w:t>
            </w:r>
            <w:r w:rsidR="009F71F0">
              <w:rPr>
                <w:color w:val="221F1F"/>
                <w:sz w:val="28"/>
              </w:rPr>
              <w:t xml:space="preserve">for volumetric and </w:t>
            </w:r>
            <w:r w:rsidR="004302F5">
              <w:rPr>
                <w:color w:val="221F1F"/>
                <w:sz w:val="28"/>
              </w:rPr>
              <w:t>gravimetric analysis</w:t>
            </w:r>
            <w:r w:rsidR="00792782">
              <w:rPr>
                <w:color w:val="221F1F"/>
                <w:sz w:val="28"/>
              </w:rPr>
              <w:t xml:space="preserve"> </w:t>
            </w:r>
          </w:p>
          <w:p w14:paraId="13D923FB" w14:textId="78FD68E4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</w:t>
            </w:r>
            <w:r w:rsidR="003924A5">
              <w:rPr>
                <w:color w:val="221F1F"/>
                <w:sz w:val="28"/>
              </w:rPr>
              <w:t>3. understanding</w:t>
            </w:r>
            <w:r w:rsidR="000E40C6">
              <w:rPr>
                <w:color w:val="221F1F"/>
                <w:sz w:val="28"/>
              </w:rPr>
              <w:t xml:space="preserve"> the Mole unit </w:t>
            </w:r>
            <w:r w:rsidR="003924A5">
              <w:rPr>
                <w:color w:val="221F1F"/>
                <w:sz w:val="28"/>
              </w:rPr>
              <w:t>and studying Stoichiometry</w:t>
            </w:r>
          </w:p>
          <w:p w14:paraId="0C4608CA" w14:textId="4021DD1B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  <w:r w:rsidR="003924A5">
              <w:rPr>
                <w:color w:val="221F1F"/>
                <w:sz w:val="28"/>
              </w:rPr>
              <w:t xml:space="preserve"> </w:t>
            </w:r>
            <w:r w:rsidR="00BB1CF1">
              <w:rPr>
                <w:color w:val="221F1F"/>
                <w:sz w:val="28"/>
              </w:rPr>
              <w:t>Understanding</w:t>
            </w:r>
            <w:r w:rsidR="007029D4">
              <w:rPr>
                <w:color w:val="221F1F"/>
                <w:sz w:val="28"/>
              </w:rPr>
              <w:t xml:space="preserve"> main units in a</w:t>
            </w:r>
            <w:r w:rsidR="00BB1CF1">
              <w:rPr>
                <w:color w:val="221F1F"/>
                <w:sz w:val="28"/>
              </w:rPr>
              <w:t>nalytical chemistry</w:t>
            </w:r>
          </w:p>
          <w:p w14:paraId="75CBD9A0" w14:textId="6783E190" w:rsidR="00AD31D6" w:rsidRDefault="000E0F50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</w:t>
            </w:r>
            <w:proofErr w:type="gramStart"/>
            <w:r>
              <w:rPr>
                <w:color w:val="221F1F"/>
                <w:sz w:val="28"/>
              </w:rPr>
              <w:t>5.</w:t>
            </w:r>
            <w:r w:rsidR="00F40E21">
              <w:rPr>
                <w:color w:val="221F1F"/>
                <w:sz w:val="28"/>
              </w:rPr>
              <w:t>genral</w:t>
            </w:r>
            <w:proofErr w:type="gramEnd"/>
            <w:r w:rsidR="00F40E21">
              <w:rPr>
                <w:color w:val="221F1F"/>
                <w:sz w:val="28"/>
              </w:rPr>
              <w:t xml:space="preserve"> introduction to solubi</w:t>
            </w:r>
            <w:r w:rsidR="006B6295">
              <w:rPr>
                <w:color w:val="221F1F"/>
                <w:sz w:val="28"/>
              </w:rPr>
              <w:t>lity and common ion effect</w:t>
            </w:r>
          </w:p>
          <w:p w14:paraId="2868C613" w14:textId="77777777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A</w:t>
            </w:r>
            <w:proofErr w:type="gramStart"/>
            <w:r>
              <w:rPr>
                <w:color w:val="221F1F"/>
                <w:sz w:val="28"/>
              </w:rPr>
              <w:t>6 .</w:t>
            </w:r>
            <w:proofErr w:type="gramEnd"/>
          </w:p>
        </w:tc>
      </w:tr>
      <w:tr w:rsidR="00AD31D6" w14:paraId="13B8BA83" w14:textId="77777777" w:rsidTr="00620AF9">
        <w:trPr>
          <w:trHeight w:val="1410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EDE"/>
          </w:tcPr>
          <w:p w14:paraId="1F20FF21" w14:textId="77777777" w:rsidR="00D93454" w:rsidRDefault="000E0F50" w:rsidP="00D93454">
            <w:pPr>
              <w:pStyle w:val="TableParagraph"/>
              <w:spacing w:before="143" w:line="194" w:lineRule="auto"/>
              <w:ind w:left="498" w:right="204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11E5B445" w14:textId="63D93707" w:rsidR="00AD31D6" w:rsidRDefault="000E0F50" w:rsidP="00D93454">
            <w:pPr>
              <w:pStyle w:val="TableParagraph"/>
              <w:spacing w:before="143" w:line="194" w:lineRule="auto"/>
              <w:ind w:left="498" w:right="204" w:hanging="5"/>
              <w:rPr>
                <w:sz w:val="28"/>
              </w:rPr>
            </w:pPr>
            <w:r>
              <w:rPr>
                <w:color w:val="221F1F"/>
                <w:sz w:val="28"/>
              </w:rPr>
              <w:t>B1.</w:t>
            </w:r>
            <w:r w:rsidR="006B6295">
              <w:rPr>
                <w:color w:val="221F1F"/>
                <w:sz w:val="28"/>
              </w:rPr>
              <w:t xml:space="preserve"> </w:t>
            </w:r>
            <w:r w:rsidR="00D67D0D">
              <w:rPr>
                <w:color w:val="221F1F"/>
                <w:sz w:val="28"/>
              </w:rPr>
              <w:t xml:space="preserve">Develop student abilities to adapt units </w:t>
            </w:r>
            <w:r w:rsidR="00D93454">
              <w:rPr>
                <w:color w:val="221F1F"/>
                <w:sz w:val="28"/>
              </w:rPr>
              <w:t>and numbers and exchange them</w:t>
            </w:r>
          </w:p>
          <w:p w14:paraId="34416C25" w14:textId="167D1131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C35A10">
              <w:rPr>
                <w:color w:val="221F1F"/>
                <w:sz w:val="28"/>
              </w:rPr>
              <w:t xml:space="preserve"> </w:t>
            </w:r>
            <w:r w:rsidR="00041988">
              <w:rPr>
                <w:color w:val="221F1F"/>
                <w:sz w:val="28"/>
              </w:rPr>
              <w:t xml:space="preserve">Learn the ability to choose an analytical method for any </w:t>
            </w:r>
            <w:r w:rsidR="00F80AE7">
              <w:rPr>
                <w:color w:val="221F1F"/>
                <w:sz w:val="28"/>
              </w:rPr>
              <w:t>analytical issue</w:t>
            </w:r>
          </w:p>
          <w:p w14:paraId="6F864340" w14:textId="79CCA7D1" w:rsidR="008509F9" w:rsidRDefault="000E0F50">
            <w:pPr>
              <w:pStyle w:val="TableParagraph"/>
              <w:spacing w:line="318" w:lineRule="exact"/>
              <w:ind w:left="542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 w:rsidR="00C35A10">
              <w:rPr>
                <w:color w:val="221F1F"/>
                <w:sz w:val="28"/>
              </w:rPr>
              <w:t xml:space="preserve"> Develop </w:t>
            </w:r>
            <w:r w:rsidR="0066659A">
              <w:rPr>
                <w:color w:val="221F1F"/>
                <w:sz w:val="28"/>
              </w:rPr>
              <w:t xml:space="preserve">the ability to interact </w:t>
            </w:r>
            <w:r w:rsidR="008509F9">
              <w:rPr>
                <w:color w:val="221F1F"/>
                <w:sz w:val="28"/>
              </w:rPr>
              <w:t xml:space="preserve">and balance </w:t>
            </w:r>
            <w:r w:rsidR="0066659A">
              <w:rPr>
                <w:color w:val="221F1F"/>
                <w:sz w:val="28"/>
              </w:rPr>
              <w:t xml:space="preserve">chemical </w:t>
            </w:r>
            <w:r w:rsidR="00C35A10">
              <w:rPr>
                <w:color w:val="221F1F"/>
                <w:sz w:val="28"/>
              </w:rPr>
              <w:t>equations</w:t>
            </w:r>
            <w:r w:rsidR="008509F9">
              <w:rPr>
                <w:color w:val="221F1F"/>
                <w:sz w:val="28"/>
              </w:rPr>
              <w:t xml:space="preserve"> and do a stoichiometry</w:t>
            </w:r>
          </w:p>
          <w:p w14:paraId="4CDEA04E" w14:textId="4795433F" w:rsidR="00AD31D6" w:rsidRDefault="008509F9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B4. </w:t>
            </w:r>
            <w:r w:rsidR="00EB709B">
              <w:rPr>
                <w:color w:val="221F1F"/>
                <w:sz w:val="28"/>
              </w:rPr>
              <w:t>Develop basic abilities to interact with chemical</w:t>
            </w:r>
            <w:r w:rsidR="006F423F">
              <w:rPr>
                <w:color w:val="221F1F"/>
                <w:sz w:val="28"/>
              </w:rPr>
              <w:t>s</w:t>
            </w:r>
            <w:r w:rsidR="00EB709B">
              <w:rPr>
                <w:color w:val="221F1F"/>
                <w:sz w:val="28"/>
              </w:rPr>
              <w:t xml:space="preserve"> at an analytical lab</w:t>
            </w:r>
            <w:r w:rsidR="00281FB8">
              <w:rPr>
                <w:color w:val="221F1F"/>
                <w:sz w:val="28"/>
              </w:rPr>
              <w:t xml:space="preserve"> and methods of detecting some elements</w:t>
            </w:r>
          </w:p>
        </w:tc>
      </w:tr>
      <w:tr w:rsidR="00AD31D6" w14:paraId="67FE8F5E" w14:textId="77777777" w:rsidTr="00620AF9">
        <w:trPr>
          <w:trHeight w:val="513"/>
        </w:trPr>
        <w:tc>
          <w:tcPr>
            <w:tcW w:w="9722" w:type="dxa"/>
            <w:tcBorders>
              <w:top w:val="single" w:sz="4" w:space="0" w:color="auto"/>
            </w:tcBorders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0E218CDB" w14:textId="5F559E71" w:rsidR="00AD31D6" w:rsidRDefault="00B803C2" w:rsidP="0050243E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In 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 xml:space="preserve"> interactive lectures involving </w:t>
            </w:r>
            <w:r w:rsidR="0050243E">
              <w:rPr>
                <w:sz w:val="28"/>
              </w:rPr>
              <w:t>educational videos</w:t>
            </w:r>
          </w:p>
          <w:p w14:paraId="6244D085" w14:textId="77777777" w:rsidR="0050243E" w:rsidRDefault="00970D3D" w:rsidP="0050243E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Practical in lab lectures</w:t>
            </w:r>
          </w:p>
          <w:p w14:paraId="2BCF02AF" w14:textId="120BB4E1" w:rsidR="00970D3D" w:rsidRDefault="00E60B8D" w:rsidP="0050243E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Adapting interactivity with </w:t>
            </w:r>
            <w:r w:rsidR="009B57A0">
              <w:rPr>
                <w:sz w:val="28"/>
              </w:rPr>
              <w:t>student’s</w:t>
            </w:r>
            <w:r>
              <w:rPr>
                <w:sz w:val="28"/>
              </w:rPr>
              <w:t xml:space="preserve"> interaction by </w:t>
            </w:r>
            <w:r w:rsidR="00DC6D04">
              <w:rPr>
                <w:sz w:val="28"/>
              </w:rPr>
              <w:t xml:space="preserve">rising a </w:t>
            </w:r>
            <w:proofErr w:type="gramStart"/>
            <w:r w:rsidR="00DC6D04">
              <w:rPr>
                <w:sz w:val="28"/>
              </w:rPr>
              <w:t>questions</w:t>
            </w:r>
            <w:proofErr w:type="gramEnd"/>
            <w:r w:rsidR="00DC6D04">
              <w:rPr>
                <w:sz w:val="28"/>
              </w:rPr>
              <w:t xml:space="preserve"> </w:t>
            </w:r>
            <w:r w:rsidR="009B57A0">
              <w:rPr>
                <w:sz w:val="28"/>
              </w:rPr>
              <w:t>and asking the group to find the relevant answers</w:t>
            </w:r>
            <w:r w:rsidR="00DD05F1">
              <w:rPr>
                <w:sz w:val="28"/>
              </w:rPr>
              <w:t xml:space="preserve"> to them</w:t>
            </w:r>
            <w:r w:rsidR="009B57A0">
              <w:rPr>
                <w:sz w:val="28"/>
              </w:rPr>
              <w:t xml:space="preserve"> as a main way of </w:t>
            </w:r>
            <w:r w:rsidR="00DD05F1">
              <w:rPr>
                <w:sz w:val="28"/>
              </w:rPr>
              <w:t>teaching</w:t>
            </w:r>
            <w:r w:rsidR="009B57A0">
              <w:rPr>
                <w:sz w:val="28"/>
              </w:rPr>
              <w:t>.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36BDE4FD" w14:textId="77777777" w:rsidR="00AD31D6" w:rsidRDefault="00112622" w:rsidP="001126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Evaluation of individual daily participation from students</w:t>
            </w:r>
          </w:p>
          <w:p w14:paraId="38795A97" w14:textId="508452F7" w:rsidR="005849DA" w:rsidRDefault="00DF25DF" w:rsidP="001126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Daily quizzes</w:t>
            </w:r>
          </w:p>
          <w:p w14:paraId="5AD5E5BD" w14:textId="4AFD76F0" w:rsidR="00DF25DF" w:rsidRDefault="0028200C" w:rsidP="001126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Monthly and midcourse exams</w:t>
            </w:r>
          </w:p>
          <w:p w14:paraId="2B734769" w14:textId="2258FD63" w:rsidR="0028200C" w:rsidRDefault="0028200C" w:rsidP="001126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Final exam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52513F69" w14:textId="77777777" w:rsidR="008E7E9E" w:rsidRDefault="000E0F50" w:rsidP="008E7E9E">
            <w:pPr>
              <w:pStyle w:val="TableParagraph"/>
              <w:spacing w:line="194" w:lineRule="auto"/>
              <w:ind w:left="719" w:right="12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</w:p>
          <w:p w14:paraId="6275AE2D" w14:textId="4142714F" w:rsidR="00AD31D6" w:rsidRDefault="000E0F50" w:rsidP="008E7E9E">
            <w:pPr>
              <w:pStyle w:val="TableParagraph"/>
              <w:spacing w:line="194" w:lineRule="auto"/>
              <w:ind w:left="719" w:right="12" w:hanging="18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C1.</w:t>
            </w:r>
            <w:r w:rsidR="008E7E9E">
              <w:rPr>
                <w:color w:val="221F1F"/>
                <w:sz w:val="28"/>
              </w:rPr>
              <w:t xml:space="preserve"> Develop the student abilities of reasoning and scientific </w:t>
            </w:r>
            <w:r w:rsidR="00215EBB">
              <w:rPr>
                <w:color w:val="221F1F"/>
                <w:sz w:val="28"/>
              </w:rPr>
              <w:t>approach</w:t>
            </w:r>
          </w:p>
          <w:p w14:paraId="57A7E9D6" w14:textId="0193E2AD" w:rsidR="00AD31D6" w:rsidRDefault="009A508C" w:rsidP="009A508C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        </w:t>
            </w:r>
            <w:r w:rsidR="000E0F50">
              <w:rPr>
                <w:color w:val="221F1F"/>
                <w:sz w:val="28"/>
              </w:rPr>
              <w:t>C2.</w:t>
            </w:r>
            <w:r w:rsidR="00215EBB">
              <w:rPr>
                <w:color w:val="221F1F"/>
                <w:sz w:val="28"/>
              </w:rPr>
              <w:t xml:space="preserve"> </w:t>
            </w:r>
            <w:r w:rsidR="00467713">
              <w:rPr>
                <w:color w:val="221F1F"/>
                <w:sz w:val="28"/>
              </w:rPr>
              <w:t xml:space="preserve">Develop </w:t>
            </w:r>
            <w:r w:rsidR="00AE7DBA">
              <w:rPr>
                <w:color w:val="221F1F"/>
                <w:sz w:val="28"/>
              </w:rPr>
              <w:t>students’ abilities to deal with professional matters</w:t>
            </w:r>
          </w:p>
          <w:p w14:paraId="5FC294DA" w14:textId="7BCE3F7D" w:rsidR="00AD31D6" w:rsidRDefault="009A508C" w:rsidP="009A508C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        </w:t>
            </w:r>
            <w:r w:rsidR="000E0F50">
              <w:rPr>
                <w:color w:val="221F1F"/>
                <w:sz w:val="28"/>
              </w:rPr>
              <w:t>C3.</w:t>
            </w:r>
            <w:r w:rsidR="00AE7DBA">
              <w:rPr>
                <w:color w:val="221F1F"/>
                <w:sz w:val="28"/>
              </w:rPr>
              <w:t xml:space="preserve"> </w:t>
            </w:r>
            <w:r w:rsidR="008313E2">
              <w:rPr>
                <w:color w:val="221F1F"/>
                <w:sz w:val="28"/>
              </w:rPr>
              <w:t xml:space="preserve">Increase </w:t>
            </w:r>
            <w:r w:rsidR="00722EBE">
              <w:rPr>
                <w:color w:val="221F1F"/>
                <w:sz w:val="28"/>
              </w:rPr>
              <w:t>students’</w:t>
            </w:r>
            <w:r w:rsidR="005048A9">
              <w:rPr>
                <w:color w:val="221F1F"/>
                <w:sz w:val="28"/>
              </w:rPr>
              <w:t xml:space="preserve"> abilities in linking between academic an </w:t>
            </w:r>
            <w:proofErr w:type="gramStart"/>
            <w:r w:rsidR="005048A9">
              <w:rPr>
                <w:color w:val="221F1F"/>
                <w:sz w:val="28"/>
              </w:rPr>
              <w:t>in practice</w:t>
            </w:r>
            <w:proofErr w:type="gramEnd"/>
            <w:r w:rsidR="005048A9">
              <w:rPr>
                <w:color w:val="221F1F"/>
                <w:sz w:val="28"/>
              </w:rPr>
              <w:t xml:space="preserve"> issues</w:t>
            </w:r>
          </w:p>
          <w:p w14:paraId="46D54E6E" w14:textId="09A745DC" w:rsidR="00AD31D6" w:rsidRDefault="009A508C" w:rsidP="009A508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        </w:t>
            </w:r>
            <w:r w:rsidR="000E0F50">
              <w:rPr>
                <w:color w:val="221F1F"/>
                <w:sz w:val="28"/>
              </w:rPr>
              <w:t>C4.</w:t>
            </w: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1F39605A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D. General and rehabilitative transferred </w:t>
            </w:r>
            <w:r w:rsidR="00037223">
              <w:rPr>
                <w:color w:val="221F1F"/>
                <w:sz w:val="28"/>
              </w:rPr>
              <w:t>skills (</w:t>
            </w:r>
            <w:r>
              <w:rPr>
                <w:color w:val="221F1F"/>
                <w:sz w:val="28"/>
              </w:rPr>
              <w:t>other skills relevant to employability and personal development)</w:t>
            </w:r>
          </w:p>
          <w:p w14:paraId="3EA06D45" w14:textId="56895AD2" w:rsidR="00AD31D6" w:rsidRDefault="000E0F50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1B626A">
              <w:rPr>
                <w:color w:val="221F1F"/>
                <w:sz w:val="28"/>
              </w:rPr>
              <w:t xml:space="preserve"> Develop the abilities to interact with chemical</w:t>
            </w:r>
            <w:r w:rsidR="00037223">
              <w:rPr>
                <w:color w:val="221F1F"/>
                <w:sz w:val="28"/>
              </w:rPr>
              <w:t>s</w:t>
            </w:r>
            <w:r w:rsidR="001B626A">
              <w:rPr>
                <w:color w:val="221F1F"/>
                <w:sz w:val="28"/>
              </w:rPr>
              <w:t xml:space="preserve"> and detecting elements</w:t>
            </w:r>
          </w:p>
          <w:p w14:paraId="2B8CC779" w14:textId="50A6A9E4"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  <w:r w:rsidR="00037223">
              <w:rPr>
                <w:color w:val="221F1F"/>
                <w:sz w:val="28"/>
              </w:rPr>
              <w:t xml:space="preserve"> </w:t>
            </w:r>
            <w:r w:rsidR="00D41C30">
              <w:rPr>
                <w:color w:val="221F1F"/>
                <w:sz w:val="28"/>
              </w:rPr>
              <w:t>Basic introduction to actual in mark</w:t>
            </w:r>
            <w:r w:rsidR="00B952AF">
              <w:rPr>
                <w:color w:val="221F1F"/>
                <w:sz w:val="28"/>
              </w:rPr>
              <w:t xml:space="preserve">et </w:t>
            </w:r>
            <w:r w:rsidR="0031058A">
              <w:rPr>
                <w:color w:val="221F1F"/>
                <w:sz w:val="28"/>
              </w:rPr>
              <w:t>needs</w:t>
            </w:r>
            <w:r w:rsidR="00B952AF">
              <w:rPr>
                <w:color w:val="221F1F"/>
                <w:sz w:val="28"/>
              </w:rPr>
              <w:t xml:space="preserve"> for chemists and analytical chemist</w:t>
            </w:r>
          </w:p>
          <w:p w14:paraId="52CD2F31" w14:textId="67A25107"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  <w:r w:rsidR="00B952AF">
              <w:rPr>
                <w:color w:val="221F1F"/>
                <w:sz w:val="28"/>
              </w:rPr>
              <w:t xml:space="preserve"> </w:t>
            </w:r>
            <w:r w:rsidR="00936EE8">
              <w:rPr>
                <w:color w:val="221F1F"/>
                <w:sz w:val="28"/>
              </w:rPr>
              <w:t>Leading students to discover external knowledge resources</w:t>
            </w:r>
            <w:r w:rsidR="00941A41">
              <w:rPr>
                <w:color w:val="221F1F"/>
                <w:sz w:val="28"/>
              </w:rPr>
              <w:t xml:space="preserve"> (ref and sites)</w:t>
            </w:r>
            <w:r w:rsidR="00936EE8">
              <w:rPr>
                <w:color w:val="221F1F"/>
                <w:sz w:val="28"/>
              </w:rPr>
              <w:t xml:space="preserve"> for self-development</w:t>
            </w:r>
          </w:p>
          <w:p w14:paraId="24985A85" w14:textId="389C462E"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  <w:r w:rsidR="00D93F90">
              <w:rPr>
                <w:color w:val="221F1F"/>
                <w:sz w:val="28"/>
              </w:rPr>
              <w:t xml:space="preserve"> Explain to students the </w:t>
            </w:r>
            <w:r w:rsidR="0031058A">
              <w:rPr>
                <w:color w:val="221F1F"/>
                <w:sz w:val="28"/>
              </w:rPr>
              <w:t>personal skills needed in professional market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10412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82"/>
        <w:gridCol w:w="2790"/>
        <w:gridCol w:w="2131"/>
        <w:gridCol w:w="1801"/>
        <w:gridCol w:w="1828"/>
      </w:tblGrid>
      <w:tr w:rsidR="00AD31D6" w14:paraId="70D84183" w14:textId="77777777" w:rsidTr="00DA3233">
        <w:trPr>
          <w:trHeight w:val="536"/>
        </w:trPr>
        <w:tc>
          <w:tcPr>
            <w:tcW w:w="10412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DA3233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782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2790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131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1828" w:type="dxa"/>
            <w:shd w:val="clear" w:color="auto" w:fill="A7BEDE"/>
          </w:tcPr>
          <w:p w14:paraId="7FBE5434" w14:textId="77777777" w:rsidR="00AD31D6" w:rsidRDefault="000E0F50" w:rsidP="00DA3233">
            <w:pPr>
              <w:pStyle w:val="TableParagraph"/>
              <w:spacing w:before="131"/>
              <w:ind w:left="29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AD31D6" w14:paraId="247BF13A" w14:textId="77777777" w:rsidTr="00DA3233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0D53482E" w:rsidR="00AD31D6" w:rsidRDefault="000653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8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448D9887" w:rsidR="00AD31D6" w:rsidRDefault="00A93F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9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674299DB" w:rsidR="00AD31D6" w:rsidRDefault="00C717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Learning</w:t>
            </w:r>
            <w:r w:rsidR="00DA3233">
              <w:rPr>
                <w:sz w:val="28"/>
              </w:rPr>
              <w:t xml:space="preserve"> basic</w:t>
            </w:r>
            <w:r w:rsidR="00E71A6E">
              <w:rPr>
                <w:sz w:val="28"/>
              </w:rPr>
              <w:t>s of analytical chemistry and</w:t>
            </w:r>
            <w:r w:rsidR="00C64E0B">
              <w:rPr>
                <w:sz w:val="28"/>
              </w:rPr>
              <w:t xml:space="preserve"> scientific steps of analysis</w:t>
            </w:r>
            <w:r w:rsidR="00E71A6E">
              <w:rPr>
                <w:sz w:val="28"/>
              </w:rPr>
              <w:t xml:space="preserve"> </w:t>
            </w:r>
          </w:p>
        </w:tc>
        <w:tc>
          <w:tcPr>
            <w:tcW w:w="21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0072C73B" w:rsidR="00AD31D6" w:rsidRDefault="000E18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Introduction to Analytical chemistry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3C06EC24" w:rsidR="00AD31D6" w:rsidRDefault="00C311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 class (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>) lectures</w:t>
            </w:r>
          </w:p>
        </w:tc>
        <w:tc>
          <w:tcPr>
            <w:tcW w:w="1828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1D7BB889" w:rsidR="00AD31D6" w:rsidRDefault="00C311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Daily </w:t>
            </w:r>
            <w:r w:rsidR="00390E34">
              <w:rPr>
                <w:sz w:val="28"/>
              </w:rPr>
              <w:t>quizzes</w:t>
            </w:r>
            <w:r>
              <w:rPr>
                <w:sz w:val="28"/>
              </w:rPr>
              <w:t xml:space="preserve"> and </w:t>
            </w:r>
            <w:r w:rsidR="00390E34">
              <w:rPr>
                <w:sz w:val="28"/>
              </w:rPr>
              <w:t>mid exams</w:t>
            </w:r>
          </w:p>
        </w:tc>
      </w:tr>
      <w:tr w:rsidR="00AD31D6" w14:paraId="1B17B819" w14:textId="77777777" w:rsidTr="00DA3233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7D293AFF" w:rsidR="00AD31D6" w:rsidRDefault="00065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82" w:type="dxa"/>
            <w:shd w:val="clear" w:color="auto" w:fill="A7BEDE"/>
          </w:tcPr>
          <w:p w14:paraId="15D0E474" w14:textId="7B56CDFC" w:rsidR="00AD31D6" w:rsidRDefault="00B20D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0" w:type="dxa"/>
            <w:shd w:val="clear" w:color="auto" w:fill="D2DFED"/>
          </w:tcPr>
          <w:p w14:paraId="09D8FBFA" w14:textId="3EFDCD13" w:rsidR="00AD31D6" w:rsidRDefault="00B94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Learning molecular mass, Moles, Molarity, Molality, </w:t>
            </w:r>
            <w:r w:rsidR="00433D85">
              <w:rPr>
                <w:sz w:val="24"/>
              </w:rPr>
              <w:t>Normality,</w:t>
            </w:r>
            <w:r>
              <w:rPr>
                <w:sz w:val="24"/>
              </w:rPr>
              <w:t xml:space="preserve"> and other concentration units</w:t>
            </w:r>
          </w:p>
        </w:tc>
        <w:tc>
          <w:tcPr>
            <w:tcW w:w="2131" w:type="dxa"/>
            <w:shd w:val="clear" w:color="auto" w:fill="A7BEDE"/>
          </w:tcPr>
          <w:p w14:paraId="64476462" w14:textId="3A00846A" w:rsidR="00AD31D6" w:rsidRDefault="00433D85">
            <w:pPr>
              <w:pStyle w:val="TableParagraph"/>
              <w:rPr>
                <w:sz w:val="24"/>
              </w:rPr>
            </w:pPr>
            <w:r>
              <w:t>Solution preparation and concentration</w:t>
            </w:r>
          </w:p>
        </w:tc>
        <w:tc>
          <w:tcPr>
            <w:tcW w:w="1801" w:type="dxa"/>
            <w:shd w:val="clear" w:color="auto" w:fill="D2DFED"/>
          </w:tcPr>
          <w:p w14:paraId="21E2F725" w14:textId="759C12F7" w:rsidR="00AD31D6" w:rsidRDefault="00C3110B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In class (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>) lectures</w:t>
            </w:r>
          </w:p>
        </w:tc>
        <w:tc>
          <w:tcPr>
            <w:tcW w:w="1828" w:type="dxa"/>
            <w:shd w:val="clear" w:color="auto" w:fill="A7BEDE"/>
          </w:tcPr>
          <w:p w14:paraId="1B2FFD5E" w14:textId="77C328D3" w:rsidR="00AD31D6" w:rsidRDefault="00390E34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Daily quizzes and mid exams</w:t>
            </w:r>
          </w:p>
        </w:tc>
      </w:tr>
      <w:tr w:rsidR="00AD31D6" w14:paraId="4B0782DC" w14:textId="77777777" w:rsidTr="00DA3233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30EC15D1" w:rsidR="00AD31D6" w:rsidRDefault="00065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78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40E4ADA6" w:rsidR="00AD31D6" w:rsidRDefault="00433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78338998" w:rsidR="00AD31D6" w:rsidRDefault="00695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Learning balancing chemical equation and stoichiometry</w:t>
            </w:r>
          </w:p>
        </w:tc>
        <w:tc>
          <w:tcPr>
            <w:tcW w:w="21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7537438C" w:rsidR="00AD31D6" w:rsidRDefault="00854160">
            <w:pPr>
              <w:pStyle w:val="TableParagraph"/>
              <w:rPr>
                <w:sz w:val="24"/>
              </w:rPr>
            </w:pPr>
            <w:r>
              <w:t>Stoichiometric Relationships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7F9088AF" w:rsidR="00AD31D6" w:rsidRDefault="00C3110B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In class (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>) lectures</w:t>
            </w:r>
          </w:p>
        </w:tc>
        <w:tc>
          <w:tcPr>
            <w:tcW w:w="1828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15021579" w:rsidR="00AD31D6" w:rsidRDefault="00390E34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Daily quizzes and mid exams</w:t>
            </w:r>
          </w:p>
        </w:tc>
      </w:tr>
      <w:tr w:rsidR="00AD31D6" w14:paraId="18BC33B3" w14:textId="77777777" w:rsidTr="00DA3233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7CE467F1" w:rsidR="00AD31D6" w:rsidRDefault="006B1C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782" w:type="dxa"/>
            <w:shd w:val="clear" w:color="auto" w:fill="A7BEDE"/>
          </w:tcPr>
          <w:p w14:paraId="37DC9EB9" w14:textId="64274912" w:rsidR="00AD31D6" w:rsidRDefault="00854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0" w:type="dxa"/>
            <w:shd w:val="clear" w:color="auto" w:fill="D2DFED"/>
          </w:tcPr>
          <w:p w14:paraId="25C1EA10" w14:textId="39188F88" w:rsidR="00AD31D6" w:rsidRDefault="00BE68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Gravimetric analysis and solubi</w:t>
            </w:r>
            <w:r w:rsidR="006C45D3">
              <w:rPr>
                <w:sz w:val="24"/>
              </w:rPr>
              <w:t>lity</w:t>
            </w:r>
          </w:p>
        </w:tc>
        <w:tc>
          <w:tcPr>
            <w:tcW w:w="2131" w:type="dxa"/>
            <w:shd w:val="clear" w:color="auto" w:fill="A7BEDE"/>
          </w:tcPr>
          <w:p w14:paraId="1B3D2CE6" w14:textId="6A3FF8FF" w:rsidR="00AD31D6" w:rsidRDefault="006C45D3">
            <w:pPr>
              <w:pStyle w:val="TableParagraph"/>
              <w:rPr>
                <w:sz w:val="24"/>
              </w:rPr>
            </w:pPr>
            <w:r>
              <w:t>Gravimetric methods of analysis</w:t>
            </w:r>
          </w:p>
        </w:tc>
        <w:tc>
          <w:tcPr>
            <w:tcW w:w="1801" w:type="dxa"/>
            <w:shd w:val="clear" w:color="auto" w:fill="D2DFED"/>
          </w:tcPr>
          <w:p w14:paraId="14F0392B" w14:textId="66D8A49F" w:rsidR="00AD31D6" w:rsidRDefault="00C3110B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In class (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>) lectures</w:t>
            </w:r>
          </w:p>
        </w:tc>
        <w:tc>
          <w:tcPr>
            <w:tcW w:w="1828" w:type="dxa"/>
            <w:shd w:val="clear" w:color="auto" w:fill="A7BEDE"/>
          </w:tcPr>
          <w:p w14:paraId="5ECDD048" w14:textId="0BFE8F50" w:rsidR="00AD31D6" w:rsidRDefault="00390E34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Daily quizzes and mid exams</w:t>
            </w:r>
          </w:p>
        </w:tc>
      </w:tr>
      <w:tr w:rsidR="00AD31D6" w14:paraId="1FAD6EB5" w14:textId="77777777" w:rsidTr="00DA3233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4EB4E59A" w:rsidR="00AD31D6" w:rsidRDefault="006B1C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8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21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77777777" w:rsidR="00AD31D6" w:rsidRDefault="00AD31D6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20305C21" w:rsidR="00AD31D6" w:rsidRDefault="00C3110B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In class (</w:t>
            </w:r>
            <w:proofErr w:type="spellStart"/>
            <w:r>
              <w:rPr>
                <w:sz w:val="28"/>
              </w:rPr>
              <w:t>uni</w:t>
            </w:r>
            <w:proofErr w:type="spellEnd"/>
            <w:r>
              <w:rPr>
                <w:sz w:val="28"/>
              </w:rPr>
              <w:t>) lectures</w:t>
            </w:r>
          </w:p>
        </w:tc>
        <w:tc>
          <w:tcPr>
            <w:tcW w:w="1828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203A8740" w:rsidR="00AD31D6" w:rsidRDefault="006B1C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030"/>
        <w:gridCol w:w="5692"/>
      </w:tblGrid>
      <w:tr w:rsidR="00AD31D6" w14:paraId="2F4BC0CE" w14:textId="77777777" w:rsidTr="00E45F8F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E45F8F" w14:paraId="2241E298" w14:textId="77777777" w:rsidTr="00E45F8F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E45F8F" w:rsidRDefault="00E45F8F" w:rsidP="00E45F8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E45F8F" w:rsidRDefault="00E45F8F" w:rsidP="00E45F8F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  <w:vAlign w:val="center"/>
          </w:tcPr>
          <w:p w14:paraId="288C1D04" w14:textId="195B3518" w:rsidR="00E45F8F" w:rsidRDefault="00E45F8F" w:rsidP="00E45F8F">
            <w:pPr>
              <w:pStyle w:val="TableParagraph"/>
              <w:rPr>
                <w:sz w:val="28"/>
              </w:rPr>
            </w:pPr>
            <w:r>
              <w:t xml:space="preserve">Fundamental of analytical chemistry, D.A. Skoog, D. </w:t>
            </w:r>
            <w:proofErr w:type="spellStart"/>
            <w:proofErr w:type="gramStart"/>
            <w:r>
              <w:t>M.West</w:t>
            </w:r>
            <w:proofErr w:type="spellEnd"/>
            <w:proofErr w:type="gramEnd"/>
            <w:r>
              <w:t>, F. J. Holler and S. R. Crouch, 8th ed., 2004, Brooks/Cole.</w:t>
            </w:r>
          </w:p>
        </w:tc>
      </w:tr>
      <w:tr w:rsidR="009360CC" w14:paraId="7A14E55C" w14:textId="77777777" w:rsidTr="007F7C73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9360CC" w:rsidRDefault="009360CC" w:rsidP="009360CC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9360CC" w:rsidRDefault="009360CC" w:rsidP="009360CC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19234B85" w14:textId="1859C05F" w:rsidR="009360CC" w:rsidRDefault="009360CC" w:rsidP="009360CC">
            <w:pPr>
              <w:pStyle w:val="TableParagraph"/>
              <w:rPr>
                <w:sz w:val="28"/>
              </w:rPr>
            </w:pPr>
            <w:r>
              <w:t xml:space="preserve">Analytical chemistry, "Theoretical and Metrological Fundamentals", K. </w:t>
            </w:r>
            <w:proofErr w:type="spellStart"/>
            <w:r>
              <w:t>Danzer</w:t>
            </w:r>
            <w:proofErr w:type="spellEnd"/>
            <w:r>
              <w:t>, 1st ed., 2006, Springer.</w:t>
            </w:r>
          </w:p>
        </w:tc>
      </w:tr>
      <w:tr w:rsidR="009360CC" w14:paraId="1CB733CF" w14:textId="77777777" w:rsidTr="00E45F8F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9360CC" w:rsidRDefault="009360CC" w:rsidP="009360CC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77777777" w:rsidR="009360CC" w:rsidRDefault="009360CC" w:rsidP="009360CC">
            <w:pPr>
              <w:pStyle w:val="TableParagraph"/>
              <w:rPr>
                <w:sz w:val="28"/>
              </w:rPr>
            </w:pPr>
          </w:p>
        </w:tc>
      </w:tr>
      <w:tr w:rsidR="009360CC" w14:paraId="62A7BA46" w14:textId="77777777" w:rsidTr="00E45F8F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9360CC" w:rsidRDefault="009360CC" w:rsidP="009360C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9360CC" w:rsidRDefault="009360CC" w:rsidP="009360CC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768B8CDC" w14:textId="234D2B74" w:rsidR="009360CC" w:rsidRDefault="0065337D" w:rsidP="009360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These are relative and </w:t>
            </w:r>
            <w:r w:rsidR="00D526F0">
              <w:rPr>
                <w:sz w:val="28"/>
              </w:rPr>
              <w:t>usually recommended according to the actual need for extra material</w:t>
            </w:r>
          </w:p>
        </w:tc>
      </w:tr>
      <w:tr w:rsidR="009360CC" w14:paraId="7A36C575" w14:textId="77777777" w:rsidTr="006B5F12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14:paraId="57A1EE10" w14:textId="77777777" w:rsidR="009360CC" w:rsidRDefault="009360CC" w:rsidP="009360CC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9360CC" w14:paraId="5D87BF00" w14:textId="77777777" w:rsidTr="006B5F12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14:paraId="22421E0E" w14:textId="12562BC7" w:rsidR="009360CC" w:rsidRDefault="00366308" w:rsidP="009360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The </w:t>
            </w:r>
            <w:r w:rsidR="00977706">
              <w:rPr>
                <w:sz w:val="28"/>
              </w:rPr>
              <w:t>approach</w:t>
            </w:r>
            <w:r>
              <w:rPr>
                <w:sz w:val="28"/>
              </w:rPr>
              <w:t xml:space="preserve"> is to always lean towards </w:t>
            </w:r>
            <w:r w:rsidR="00977706">
              <w:rPr>
                <w:sz w:val="28"/>
              </w:rPr>
              <w:t xml:space="preserve">the latest versions of the reference, in addition to, </w:t>
            </w:r>
            <w:r w:rsidR="004A41DE">
              <w:rPr>
                <w:sz w:val="28"/>
              </w:rPr>
              <w:t>adapt</w:t>
            </w:r>
            <w:r w:rsidR="0092083C">
              <w:rPr>
                <w:sz w:val="28"/>
              </w:rPr>
              <w:t xml:space="preserve"> more visual </w:t>
            </w:r>
            <w:r w:rsidR="00035FE3">
              <w:rPr>
                <w:sz w:val="28"/>
              </w:rPr>
              <w:t xml:space="preserve">content to suit </w:t>
            </w:r>
            <w:r w:rsidR="00243EC4">
              <w:rPr>
                <w:sz w:val="28"/>
              </w:rPr>
              <w:t xml:space="preserve">the </w:t>
            </w:r>
            <w:r w:rsidR="00400873">
              <w:rPr>
                <w:sz w:val="28"/>
              </w:rPr>
              <w:t>current</w:t>
            </w:r>
            <w:r w:rsidR="004A41DE">
              <w:rPr>
                <w:sz w:val="28"/>
              </w:rPr>
              <w:t xml:space="preserve"> student approach to study using pc, </w:t>
            </w:r>
            <w:proofErr w:type="gramStart"/>
            <w:r w:rsidR="004A41DE">
              <w:rPr>
                <w:sz w:val="28"/>
              </w:rPr>
              <w:t>mobile ,</w:t>
            </w:r>
            <w:proofErr w:type="gramEnd"/>
            <w:r w:rsidR="004A41DE">
              <w:rPr>
                <w:sz w:val="28"/>
              </w:rPr>
              <w:t xml:space="preserve"> tablet…etc. </w:t>
            </w: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001D"/>
    <w:multiLevelType w:val="hybridMultilevel"/>
    <w:tmpl w:val="F74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2976"/>
    <w:multiLevelType w:val="hybridMultilevel"/>
    <w:tmpl w:val="252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D6"/>
    <w:rsid w:val="00035FE3"/>
    <w:rsid w:val="00037223"/>
    <w:rsid w:val="00041988"/>
    <w:rsid w:val="00065392"/>
    <w:rsid w:val="000D5A50"/>
    <w:rsid w:val="000E0F50"/>
    <w:rsid w:val="000E188C"/>
    <w:rsid w:val="000E1F6D"/>
    <w:rsid w:val="000E40C6"/>
    <w:rsid w:val="001060A3"/>
    <w:rsid w:val="00112622"/>
    <w:rsid w:val="00124F49"/>
    <w:rsid w:val="001370C4"/>
    <w:rsid w:val="001804E2"/>
    <w:rsid w:val="00183E4C"/>
    <w:rsid w:val="001B626A"/>
    <w:rsid w:val="001F4F06"/>
    <w:rsid w:val="00215EBB"/>
    <w:rsid w:val="0021729A"/>
    <w:rsid w:val="00243EC4"/>
    <w:rsid w:val="00281FB8"/>
    <w:rsid w:val="0028200C"/>
    <w:rsid w:val="002E5621"/>
    <w:rsid w:val="002F10AA"/>
    <w:rsid w:val="0031058A"/>
    <w:rsid w:val="00344994"/>
    <w:rsid w:val="00366308"/>
    <w:rsid w:val="00390E34"/>
    <w:rsid w:val="003924A5"/>
    <w:rsid w:val="003F18A1"/>
    <w:rsid w:val="00400873"/>
    <w:rsid w:val="004302F5"/>
    <w:rsid w:val="00433D85"/>
    <w:rsid w:val="00467713"/>
    <w:rsid w:val="004A41DE"/>
    <w:rsid w:val="004B25D4"/>
    <w:rsid w:val="004E3177"/>
    <w:rsid w:val="0050243E"/>
    <w:rsid w:val="005048A9"/>
    <w:rsid w:val="00554826"/>
    <w:rsid w:val="005849DA"/>
    <w:rsid w:val="00585BB0"/>
    <w:rsid w:val="005971C8"/>
    <w:rsid w:val="00620AF9"/>
    <w:rsid w:val="00637DB0"/>
    <w:rsid w:val="0065337D"/>
    <w:rsid w:val="0066659A"/>
    <w:rsid w:val="00695B88"/>
    <w:rsid w:val="006B1C2D"/>
    <w:rsid w:val="006B5F12"/>
    <w:rsid w:val="006B6295"/>
    <w:rsid w:val="006C45D3"/>
    <w:rsid w:val="006F423F"/>
    <w:rsid w:val="007029D4"/>
    <w:rsid w:val="00722EBE"/>
    <w:rsid w:val="00792782"/>
    <w:rsid w:val="007D0472"/>
    <w:rsid w:val="007D44EF"/>
    <w:rsid w:val="007E6B4D"/>
    <w:rsid w:val="008313E2"/>
    <w:rsid w:val="008509F9"/>
    <w:rsid w:val="00854160"/>
    <w:rsid w:val="00896949"/>
    <w:rsid w:val="008E7E9E"/>
    <w:rsid w:val="0092083C"/>
    <w:rsid w:val="009360CC"/>
    <w:rsid w:val="00936EE8"/>
    <w:rsid w:val="00941A41"/>
    <w:rsid w:val="00970D3D"/>
    <w:rsid w:val="0097137E"/>
    <w:rsid w:val="00977706"/>
    <w:rsid w:val="009A508C"/>
    <w:rsid w:val="009B57A0"/>
    <w:rsid w:val="009F71F0"/>
    <w:rsid w:val="00A62388"/>
    <w:rsid w:val="00A93F18"/>
    <w:rsid w:val="00AB23BA"/>
    <w:rsid w:val="00AD31D6"/>
    <w:rsid w:val="00AE7DBA"/>
    <w:rsid w:val="00B20D14"/>
    <w:rsid w:val="00B803C2"/>
    <w:rsid w:val="00B94B81"/>
    <w:rsid w:val="00B952AF"/>
    <w:rsid w:val="00BB1CF1"/>
    <w:rsid w:val="00BE6859"/>
    <w:rsid w:val="00C3110B"/>
    <w:rsid w:val="00C35A10"/>
    <w:rsid w:val="00C46E69"/>
    <w:rsid w:val="00C64E0B"/>
    <w:rsid w:val="00C71780"/>
    <w:rsid w:val="00C91391"/>
    <w:rsid w:val="00CC5599"/>
    <w:rsid w:val="00D41C30"/>
    <w:rsid w:val="00D526F0"/>
    <w:rsid w:val="00D67D0D"/>
    <w:rsid w:val="00D93454"/>
    <w:rsid w:val="00D93F90"/>
    <w:rsid w:val="00DA3233"/>
    <w:rsid w:val="00DB5E12"/>
    <w:rsid w:val="00DC6D04"/>
    <w:rsid w:val="00DD05F1"/>
    <w:rsid w:val="00DF25DF"/>
    <w:rsid w:val="00E23E21"/>
    <w:rsid w:val="00E45F8F"/>
    <w:rsid w:val="00E60B8D"/>
    <w:rsid w:val="00E71A6E"/>
    <w:rsid w:val="00EB709B"/>
    <w:rsid w:val="00EF7F37"/>
    <w:rsid w:val="00F40E21"/>
    <w:rsid w:val="00F70873"/>
    <w:rsid w:val="00F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732D3D4D-5EBF-2549-AF30-55BE70C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Muataz Al-Agele</cp:lastModifiedBy>
  <cp:revision>7</cp:revision>
  <dcterms:created xsi:type="dcterms:W3CDTF">2022-06-20T17:04:00Z</dcterms:created>
  <dcterms:modified xsi:type="dcterms:W3CDTF">2022-10-24T17:30:00Z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